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33A14">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sz w:val="32"/>
          <w:szCs w:val="32"/>
          <w:lang w:val="en-US" w:eastAsia="zh-CN"/>
        </w:rPr>
      </w:pPr>
      <w:bookmarkStart w:id="0" w:name="_GoBack"/>
      <w:bookmarkEnd w:id="0"/>
      <w:r>
        <w:rPr>
          <w:rFonts w:hint="default" w:ascii="Times New Roman" w:hAnsi="Times New Roman" w:eastAsia="黑体" w:cs="Times New Roman"/>
          <w:sz w:val="32"/>
          <w:szCs w:val="32"/>
          <w:lang w:val="en-US" w:eastAsia="zh-CN"/>
        </w:rPr>
        <w:t>附件</w:t>
      </w:r>
      <w:r>
        <w:rPr>
          <w:rFonts w:hint="default" w:eastAsia="黑体" w:cs="Times New Roman"/>
          <w:sz w:val="32"/>
          <w:szCs w:val="32"/>
          <w:lang w:val="en-US" w:eastAsia="zh-CN"/>
        </w:rPr>
        <w:t>1-3</w:t>
      </w:r>
    </w:p>
    <w:p w14:paraId="7A25F79B">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Times New Roman" w:hAnsi="Times New Roman" w:eastAsia="黑体" w:cs="Times New Roman"/>
          <w:sz w:val="32"/>
          <w:szCs w:val="32"/>
          <w:lang w:val="en-US" w:eastAsia="zh-CN"/>
        </w:rPr>
      </w:pPr>
    </w:p>
    <w:p w14:paraId="75C143AF">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Calibri" w:hAnsi="Calibri" w:eastAsia="宋体" w:cs="Times New Roman"/>
          <w:sz w:val="21"/>
          <w:lang w:val="en-US" w:eastAsia="zh-CN"/>
        </w:rPr>
      </w:pPr>
      <w:r>
        <w:rPr>
          <w:rFonts w:hint="eastAsia" w:ascii="方正小标宋简体" w:hAnsi="方正小标宋简体" w:eastAsia="方正小标宋简体" w:cs="方正小标宋简体"/>
          <w:sz w:val="42"/>
          <w:szCs w:val="42"/>
          <w:lang w:val="en-US" w:eastAsia="zh-CN"/>
        </w:rPr>
        <w:t>2024年东莞市新型储能电池产品出口认证资助工作指引</w:t>
      </w:r>
    </w:p>
    <w:p w14:paraId="72A64703">
      <w:pPr>
        <w:keepNext w:val="0"/>
        <w:keepLines w:val="0"/>
        <w:pageBreakBefore w:val="0"/>
        <w:widowControl w:val="0"/>
        <w:kinsoku/>
        <w:wordWrap/>
        <w:overflowPunct/>
        <w:topLinePunct w:val="0"/>
        <w:autoSpaceDE/>
        <w:autoSpaceDN/>
        <w:bidi w:val="0"/>
        <w:adjustRightInd/>
        <w:snapToGrid/>
        <w:spacing w:beforeLines="0" w:after="120" w:afterLines="0" w:line="580" w:lineRule="exact"/>
        <w:jc w:val="both"/>
        <w:textAlignment w:val="auto"/>
        <w:rPr>
          <w:rFonts w:hint="eastAsia" w:ascii="Calibri" w:hAnsi="Calibri" w:eastAsia="宋体" w:cs="Times New Roman"/>
          <w:kern w:val="2"/>
          <w:sz w:val="21"/>
          <w:szCs w:val="21"/>
          <w:lang w:val="en-US" w:eastAsia="zh-CN" w:bidi="ar-SA"/>
        </w:rPr>
      </w:pPr>
    </w:p>
    <w:p w14:paraId="3441A945">
      <w:pPr>
        <w:keepNext w:val="0"/>
        <w:keepLines w:val="0"/>
        <w:pageBreakBefore w:val="0"/>
        <w:widowControl w:val="0"/>
        <w:kinsoku/>
        <w:wordWrap/>
        <w:overflowPunct/>
        <w:topLinePunct w:val="0"/>
        <w:autoSpaceDE/>
        <w:autoSpaceDN/>
        <w:bidi w:val="0"/>
        <w:adjustRightInd/>
        <w:snapToGrid/>
        <w:spacing w:line="580" w:lineRule="exact"/>
        <w:ind w:firstLine="647"/>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根据《东莞市加快新型储能产业高质量发展若干措施》（东发改〔</w:t>
      </w:r>
      <w:r>
        <w:rPr>
          <w:rFonts w:hint="default" w:ascii="Times New Roman" w:hAnsi="Times New Roman" w:eastAsia="仿宋_GB2312" w:cs="Times New Roman"/>
          <w:sz w:val="32"/>
          <w:szCs w:val="32"/>
          <w:lang w:val="en-US" w:eastAsia="zh-CN"/>
        </w:rPr>
        <w:t>2023</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95</w:t>
      </w:r>
      <w:r>
        <w:rPr>
          <w:rFonts w:hint="eastAsia" w:ascii="仿宋_GB2312" w:hAnsi="仿宋_GB2312" w:eastAsia="仿宋_GB2312" w:cs="仿宋_GB2312"/>
          <w:sz w:val="32"/>
          <w:szCs w:val="32"/>
          <w:lang w:val="en-US" w:eastAsia="zh-CN"/>
        </w:rPr>
        <w:t>号）第三点第（九）条，制定本工作指引。</w:t>
      </w:r>
    </w:p>
    <w:p w14:paraId="2245F4DC">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申报对象</w:t>
      </w:r>
    </w:p>
    <w:p w14:paraId="56871CE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highlight w:val="none"/>
          <w:lang w:val="en-US" w:eastAsia="zh-CN"/>
        </w:rPr>
        <w:t>在东莞市行政区域内依法设立，</w:t>
      </w:r>
      <w:r>
        <w:rPr>
          <w:rFonts w:hint="default" w:ascii="Times New Roman" w:hAnsi="Times New Roman" w:eastAsia="仿宋_GB2312" w:cs="Times New Roman"/>
          <w:sz w:val="32"/>
          <w:szCs w:val="32"/>
          <w:lang w:val="en-US" w:eastAsia="zh-CN"/>
        </w:rPr>
        <w:t>专门从事新型储能领域相关产业研发生产及服务的企业。</w:t>
      </w:r>
    </w:p>
    <w:p w14:paraId="7FA31C6E">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申报条件</w:t>
      </w:r>
    </w:p>
    <w:p w14:paraId="3CB6FA1F">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面向欧盟、美国、日韩等国际市场，首次取得应用于</w:t>
      </w:r>
      <w:r>
        <w:rPr>
          <w:rFonts w:hint="eastAsia" w:ascii="仿宋_GB2312" w:hAnsi="仿宋_GB2312" w:eastAsia="仿宋_GB2312" w:cs="仿宋_GB2312"/>
          <w:sz w:val="32"/>
          <w:szCs w:val="32"/>
          <w:highlight w:val="none"/>
          <w:lang w:val="en-US" w:eastAsia="zh-CN"/>
        </w:rPr>
        <w:t>新型储能领域的电池产品（仅指电池包、电芯级产品）出口认证证书，且符合附件中的支持方</w:t>
      </w:r>
      <w:r>
        <w:rPr>
          <w:rFonts w:hint="eastAsia" w:ascii="仿宋_GB2312" w:hAnsi="仿宋_GB2312" w:eastAsia="仿宋_GB2312" w:cs="仿宋_GB2312"/>
          <w:sz w:val="32"/>
          <w:szCs w:val="32"/>
          <w:lang w:val="en-US" w:eastAsia="zh-CN"/>
        </w:rPr>
        <w:t>向要求。</w:t>
      </w:r>
    </w:p>
    <w:p w14:paraId="43C6A9E4">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申报单位如果申报多个产品，可以将多个产品按照一个项目进行申报。</w:t>
      </w:r>
    </w:p>
    <w:p w14:paraId="15555C7D">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项目对应的产品在相应国际市场实现销售。</w:t>
      </w:r>
    </w:p>
    <w:p w14:paraId="281CD8F8">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项目对应的产品取得相关证明材料的时间，应当在提交申报之日前一</w:t>
      </w:r>
      <w:r>
        <w:rPr>
          <w:rFonts w:hint="eastAsia" w:ascii="仿宋_GB2312" w:hAnsi="仿宋_GB2312" w:eastAsia="仿宋_GB2312" w:cs="仿宋_GB2312"/>
          <w:sz w:val="32"/>
          <w:szCs w:val="32"/>
          <w:highlight w:val="none"/>
          <w:lang w:val="en-US" w:eastAsia="zh-CN"/>
        </w:rPr>
        <w:t>年内。证明材料包括通过国外电池产品监管部门审批认证等。</w:t>
      </w:r>
    </w:p>
    <w:p w14:paraId="69803B14">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项目未获得过同类型市级财政资金支持。申报单位不存在财政专项资金不予资助的情形。申报单位未违反国家、省、市联合惩戒政策和制度规定，未被列为失信联合惩戒对象。</w:t>
      </w:r>
    </w:p>
    <w:p w14:paraId="3EDF049B">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资助方式与标准</w:t>
      </w:r>
    </w:p>
    <w:p w14:paraId="24CADDA4">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w:t>
      </w:r>
      <w:r>
        <w:rPr>
          <w:rFonts w:hint="eastAsia" w:ascii="Times New Roman" w:hAnsi="Times New Roman" w:eastAsia="仿宋_GB2312" w:cs="Times New Roman"/>
          <w:sz w:val="32"/>
          <w:szCs w:val="32"/>
          <w:highlight w:val="none"/>
          <w:lang w:val="en-US" w:eastAsia="zh-CN"/>
        </w:rPr>
        <w:t>应用于新型储能，且</w:t>
      </w:r>
      <w:r>
        <w:rPr>
          <w:rFonts w:hint="default" w:ascii="Times New Roman" w:hAnsi="Times New Roman" w:eastAsia="仿宋_GB2312" w:cs="Times New Roman"/>
          <w:sz w:val="32"/>
          <w:szCs w:val="32"/>
          <w:highlight w:val="none"/>
          <w:lang w:val="en-US" w:eastAsia="zh-CN"/>
        </w:rPr>
        <w:t>获得海运运输证书</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成功通过</w:t>
      </w:r>
      <w:r>
        <w:rPr>
          <w:rFonts w:hint="eastAsia" w:ascii="Times New Roman" w:hAnsi="Times New Roman" w:eastAsia="仿宋_GB2312" w:cs="Times New Roman"/>
          <w:sz w:val="32"/>
          <w:szCs w:val="32"/>
          <w:highlight w:val="none"/>
          <w:lang w:val="en-US" w:eastAsia="zh-CN"/>
        </w:rPr>
        <w:t>海外市场电池产品</w:t>
      </w:r>
      <w:r>
        <w:rPr>
          <w:rFonts w:hint="eastAsia" w:ascii="仿宋_GB2312" w:hAnsi="仿宋_GB2312" w:eastAsia="仿宋_GB2312" w:cs="仿宋_GB2312"/>
          <w:sz w:val="32"/>
          <w:szCs w:val="32"/>
          <w:highlight w:val="none"/>
          <w:lang w:val="en-US" w:eastAsia="zh-CN"/>
        </w:rPr>
        <w:t>（仅指电池包、电芯级产品）</w:t>
      </w:r>
      <w:r>
        <w:rPr>
          <w:rFonts w:hint="eastAsia" w:ascii="Times New Roman" w:hAnsi="Times New Roman" w:eastAsia="仿宋_GB2312" w:cs="Times New Roman"/>
          <w:sz w:val="32"/>
          <w:szCs w:val="32"/>
          <w:highlight w:val="none"/>
          <w:lang w:val="en-US" w:eastAsia="zh-CN"/>
        </w:rPr>
        <w:t>认证</w:t>
      </w:r>
      <w:r>
        <w:rPr>
          <w:rFonts w:hint="default" w:ascii="Times New Roman" w:hAnsi="Times New Roman" w:eastAsia="仿宋_GB2312" w:cs="Times New Roman"/>
          <w:sz w:val="32"/>
          <w:szCs w:val="32"/>
          <w:highlight w:val="none"/>
          <w:lang w:val="en-US" w:eastAsia="zh-CN"/>
        </w:rPr>
        <w:t>并实现销售的</w:t>
      </w:r>
      <w:r>
        <w:rPr>
          <w:rFonts w:hint="eastAsia" w:ascii="Times New Roman" w:hAnsi="Times New Roman" w:eastAsia="仿宋_GB2312" w:cs="Times New Roman"/>
          <w:sz w:val="32"/>
          <w:szCs w:val="32"/>
          <w:highlight w:val="none"/>
          <w:lang w:val="en-US" w:eastAsia="zh-CN"/>
        </w:rPr>
        <w:t>电池新产品</w:t>
      </w:r>
      <w:r>
        <w:rPr>
          <w:rFonts w:hint="default" w:ascii="Times New Roman" w:hAnsi="Times New Roman" w:eastAsia="仿宋_GB2312" w:cs="Times New Roman"/>
          <w:sz w:val="32"/>
          <w:szCs w:val="32"/>
          <w:highlight w:val="none"/>
          <w:lang w:val="en-US" w:eastAsia="zh-CN"/>
        </w:rPr>
        <w:t>，按经评审核定</w:t>
      </w:r>
      <w:r>
        <w:rPr>
          <w:rFonts w:hint="eastAsia" w:ascii="Times New Roman" w:hAnsi="Times New Roman" w:eastAsia="仿宋_GB2312" w:cs="Times New Roman"/>
          <w:sz w:val="32"/>
          <w:szCs w:val="32"/>
          <w:highlight w:val="none"/>
          <w:lang w:val="en-US" w:eastAsia="zh-CN"/>
        </w:rPr>
        <w:t>认证</w:t>
      </w:r>
      <w:r>
        <w:rPr>
          <w:rFonts w:hint="default" w:ascii="Times New Roman" w:hAnsi="Times New Roman" w:eastAsia="仿宋_GB2312" w:cs="Times New Roman"/>
          <w:sz w:val="32"/>
          <w:szCs w:val="32"/>
          <w:highlight w:val="none"/>
          <w:lang w:val="en-US" w:eastAsia="zh-CN"/>
        </w:rPr>
        <w:t>费用的50%给予资助，最高不超过100万元。</w:t>
      </w:r>
    </w:p>
    <w:p w14:paraId="20770170">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项目资助金额按照品种独立核定。</w:t>
      </w:r>
    </w:p>
    <w:p w14:paraId="2C825363">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本项资金根据预算规模和项目申报数量情况，确定最终资助比例和金额，资金用完即止。</w:t>
      </w:r>
    </w:p>
    <w:p w14:paraId="22145986">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申报材料</w:t>
      </w:r>
    </w:p>
    <w:p w14:paraId="429EA49B">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新型储能电池产品出口认证资助申请表；</w:t>
      </w:r>
    </w:p>
    <w:p w14:paraId="0E51875C">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项目资金申请报告；</w:t>
      </w:r>
    </w:p>
    <w:p w14:paraId="7E810BAC">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申报单位资质材料；</w:t>
      </w:r>
    </w:p>
    <w:p w14:paraId="58CCB198">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项目产品取得的出口认证报告文件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含</w:t>
      </w:r>
      <w:r>
        <w:rPr>
          <w:rFonts w:hint="default" w:ascii="Calibri" w:hAnsi="Calibri" w:eastAsia="仿宋_GB2312" w:cs="Times New Roman"/>
          <w:sz w:val="32"/>
          <w:szCs w:val="32"/>
          <w:highlight w:val="none"/>
          <w:lang w:val="en-US" w:eastAsia="zh-CN"/>
        </w:rPr>
        <w:t>企业认证申请资料、签订合同、缴费资料、认证机构受理资料、有效认证证书、证书查询途径</w:t>
      </w:r>
      <w:r>
        <w:rPr>
          <w:rFonts w:hint="eastAsia" w:ascii="Calibri" w:hAnsi="Calibri" w:eastAsia="仿宋_GB2312" w:cs="Times New Roman"/>
          <w:sz w:val="32"/>
          <w:szCs w:val="32"/>
          <w:highlight w:val="none"/>
          <w:lang w:val="en-US" w:eastAsia="zh-CN"/>
        </w:rPr>
        <w:t>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w:t>
      </w:r>
    </w:p>
    <w:p w14:paraId="07E0089C">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项目产品在国际市场实现销售的相关材料（含销售合同、发票、报关单及提单等）</w:t>
      </w:r>
      <w:r>
        <w:rPr>
          <w:rFonts w:hint="eastAsia" w:ascii="仿宋_GB2312" w:hAnsi="仿宋_GB2312" w:eastAsia="仿宋_GB2312" w:cs="仿宋_GB2312"/>
          <w:sz w:val="32"/>
          <w:szCs w:val="32"/>
          <w:highlight w:val="none"/>
          <w:lang w:val="en-US" w:eastAsia="zh-CN"/>
        </w:rPr>
        <w:t>；</w:t>
      </w:r>
    </w:p>
    <w:p w14:paraId="07C3CF98">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关于项目所申报费用不包含关联交易的承诺材料；</w:t>
      </w:r>
    </w:p>
    <w:p w14:paraId="66E0D630">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有关资料真实性的承诺函。</w:t>
      </w:r>
    </w:p>
    <w:p w14:paraId="6147FDE7">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申报流程</w:t>
      </w:r>
    </w:p>
    <w:p w14:paraId="3919BEDB">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组织申报。每年</w:t>
      </w:r>
      <w:r>
        <w:rPr>
          <w:rFonts w:hint="eastAsia" w:ascii="Times New Roman" w:hAnsi="Times New Roman" w:eastAsia="仿宋_GB2312" w:cs="Times New Roman"/>
          <w:sz w:val="32"/>
          <w:szCs w:val="32"/>
          <w:lang w:val="en-US" w:eastAsia="zh-CN"/>
        </w:rPr>
        <w:t>5—6</w:t>
      </w:r>
      <w:r>
        <w:rPr>
          <w:rFonts w:hint="eastAsia" w:ascii="仿宋_GB2312" w:hAnsi="仿宋_GB2312" w:eastAsia="仿宋_GB2312" w:cs="仿宋_GB2312"/>
          <w:sz w:val="32"/>
          <w:szCs w:val="32"/>
          <w:lang w:val="en-US" w:eastAsia="zh-CN"/>
        </w:rPr>
        <w:t>月开展一次组织申报工作，通过线上平台进行申报，市发展改革局发布申报文件，申报单位登陆“企莞家”（</w:t>
      </w:r>
      <w:r>
        <w:rPr>
          <w:rFonts w:hint="default" w:ascii="Times New Roman" w:hAnsi="Times New Roman" w:eastAsia="仿宋_GB2312" w:cs="Times New Roman"/>
          <w:sz w:val="32"/>
          <w:szCs w:val="32"/>
          <w:lang w:val="en-US" w:eastAsia="zh-CN"/>
        </w:rPr>
        <w:t>https://zwfw.dg.gov.cn/dgecsp</w:t>
      </w:r>
      <w:r>
        <w:rPr>
          <w:rFonts w:hint="eastAsia" w:ascii="仿宋_GB2312" w:hAnsi="仿宋_GB2312" w:eastAsia="仿宋_GB2312" w:cs="仿宋_GB2312"/>
          <w:sz w:val="32"/>
          <w:szCs w:val="32"/>
          <w:lang w:val="en-US" w:eastAsia="zh-CN"/>
        </w:rPr>
        <w:t>），找到对应栏目进行线上申报。</w:t>
      </w:r>
    </w:p>
    <w:p w14:paraId="67E3449E">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形式审核。申报单位提交申请后，市政务服务中心综合窗口、市发改局依次对申报材料进行网上预审，核查业务材料并出具预审意见。</w:t>
      </w:r>
    </w:p>
    <w:p w14:paraId="3D396F0A">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组织评审。</w:t>
      </w:r>
      <w:r>
        <w:rPr>
          <w:rFonts w:hint="eastAsia" w:ascii="仿宋_GB2312" w:hAnsi="仿宋_GB2312" w:eastAsia="仿宋_GB2312" w:cs="仿宋_GB2312"/>
          <w:sz w:val="32"/>
          <w:szCs w:val="32"/>
          <w:lang w:eastAsia="zh-CN"/>
        </w:rPr>
        <w:t>市发展改革局对申报资料进行评审，并同步</w:t>
      </w:r>
      <w:r>
        <w:rPr>
          <w:rFonts w:hint="eastAsia" w:ascii="仿宋_GB2312" w:hAnsi="仿宋_GB2312" w:eastAsia="仿宋_GB2312" w:cs="仿宋_GB2312"/>
          <w:sz w:val="32"/>
          <w:szCs w:val="32"/>
          <w:lang w:val="en-US" w:eastAsia="zh-CN"/>
        </w:rPr>
        <w:t>征求市市场监管局、市商务局、市工业和信息化局等有关部门意见，确有需要，可委托专家或第三方开展核查，形成综合意见。</w:t>
      </w:r>
    </w:p>
    <w:p w14:paraId="31AB9E9B">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社会公示。市发展改革局将</w:t>
      </w:r>
      <w:r>
        <w:rPr>
          <w:rFonts w:hint="eastAsia" w:ascii="仿宋_GB2312" w:hAnsi="仿宋_GB2312" w:eastAsia="仿宋_GB2312" w:cs="仿宋_GB2312"/>
          <w:sz w:val="32"/>
          <w:szCs w:val="32"/>
        </w:rPr>
        <w:t>项目资助计划</w:t>
      </w:r>
      <w:r>
        <w:rPr>
          <w:rFonts w:hint="eastAsia" w:ascii="仿宋_GB2312" w:hAnsi="仿宋_GB2312" w:eastAsia="仿宋_GB2312" w:cs="仿宋_GB2312"/>
          <w:sz w:val="32"/>
          <w:szCs w:val="32"/>
          <w:lang w:val="en-US" w:eastAsia="zh-CN"/>
        </w:rPr>
        <w:t>向社会进行</w:t>
      </w:r>
      <w:r>
        <w:rPr>
          <w:rFonts w:hint="eastAsia" w:ascii="仿宋_GB2312" w:hAnsi="仿宋_GB2312" w:eastAsia="仿宋_GB2312" w:cs="仿宋_GB2312"/>
          <w:sz w:val="32"/>
          <w:szCs w:val="32"/>
        </w:rPr>
        <w:t>为期</w:t>
      </w: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rPr>
        <w:t>天</w:t>
      </w:r>
      <w:r>
        <w:rPr>
          <w:rFonts w:hint="eastAsia" w:ascii="仿宋_GB2312" w:hAnsi="仿宋_GB2312" w:eastAsia="仿宋_GB2312" w:cs="仿宋_GB2312"/>
          <w:sz w:val="32"/>
          <w:szCs w:val="32"/>
        </w:rPr>
        <w:t>的公示。</w:t>
      </w:r>
      <w:r>
        <w:rPr>
          <w:rFonts w:hint="eastAsia" w:ascii="仿宋_GB2312" w:hAnsi="仿宋_GB2312" w:eastAsia="仿宋_GB2312" w:cs="仿宋_GB2312"/>
          <w:sz w:val="32"/>
          <w:szCs w:val="32"/>
          <w:lang w:eastAsia="zh-CN"/>
        </w:rPr>
        <w:t>公示有异议的项目，将会同有关单位进一步核实，经核实不符合条件的项目不予支持。</w:t>
      </w:r>
    </w:p>
    <w:p w14:paraId="01C71597">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上报市政府。市发展改革局</w:t>
      </w:r>
      <w:r>
        <w:rPr>
          <w:rFonts w:hint="eastAsia" w:ascii="仿宋_GB2312" w:hAnsi="仿宋_GB2312" w:eastAsia="仿宋_GB2312" w:cs="仿宋_GB2312"/>
          <w:sz w:val="32"/>
          <w:szCs w:val="32"/>
        </w:rPr>
        <w:t>将公示无异议或异议排除后的资助计划上报市政府。</w:t>
      </w:r>
    </w:p>
    <w:p w14:paraId="7B63984A">
      <w:pPr>
        <w:keepNext w:val="0"/>
        <w:keepLines w:val="0"/>
        <w:pageBreakBefore w:val="0"/>
        <w:widowControl w:val="0"/>
        <w:numPr>
          <w:ilvl w:val="0"/>
          <w:numId w:val="5"/>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资金拨付。市政府批准资助计划后，市</w:t>
      </w:r>
      <w:r>
        <w:rPr>
          <w:rFonts w:hint="eastAsia" w:ascii="仿宋_GB2312" w:hAnsi="仿宋_GB2312" w:eastAsia="仿宋_GB2312" w:cs="仿宋_GB2312"/>
          <w:sz w:val="32"/>
          <w:szCs w:val="32"/>
          <w:lang w:eastAsia="zh-CN"/>
        </w:rPr>
        <w:t>发展改革</w:t>
      </w:r>
      <w:r>
        <w:rPr>
          <w:rFonts w:hint="eastAsia" w:ascii="仿宋_GB2312" w:hAnsi="仿宋_GB2312" w:eastAsia="仿宋_GB2312" w:cs="仿宋_GB2312"/>
          <w:sz w:val="32"/>
          <w:szCs w:val="32"/>
        </w:rPr>
        <w:t>局按照工作流程办理资金拨付。</w:t>
      </w:r>
    </w:p>
    <w:p w14:paraId="2E14A138">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监督检查</w:t>
      </w:r>
    </w:p>
    <w:p w14:paraId="59A2F5DB">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申请方必须对所提供的有关资料真实性负责。资金申请方需出具承诺函，承诺所提供资料真实，如提供虚假资料所造成的一切后果由资金申请方负责。市发展改革局对申报项目进行不定期抽查，如经查实存在违法违规行为的，按照《财政违法行为处罚处分条例》及市级财政专项资金有关文件规定进行处理。</w:t>
      </w:r>
    </w:p>
    <w:p w14:paraId="65A81BB4">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项资金的监督管理、绩效评价、信息公开及责任追究等按照市政府出台的关于市级财政专项资金管理办法、财务管理办法、绩效评价、责任追究等办法规定执行。市发展改革局落实资金项目的监督检查，跟进申报单位运营情况及资助项目实施情况，优化资金使用。</w:t>
      </w:r>
    </w:p>
    <w:p w14:paraId="4512FF70">
      <w:pPr>
        <w:keepNext w:val="0"/>
        <w:keepLines w:val="0"/>
        <w:pageBreakBefore w:val="0"/>
        <w:widowControl w:val="0"/>
        <w:numPr>
          <w:ilvl w:val="0"/>
          <w:numId w:val="6"/>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获得专项资金的申报单位要切实加强对专项资金的使用管理，自觉接受市发展改革局、财政、审计、监察部门的监督检查，严格执行财务规章制度和会计核算办法。申报单位如有弄虚作假、挪用、不按规定使用专项资金等行为，将收回专项资金并按有关规定追究责任。</w:t>
      </w:r>
    </w:p>
    <w:p w14:paraId="48AF85E9">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jc w:val="both"/>
        <w:textAlignment w:val="auto"/>
        <w:rPr>
          <w:rFonts w:hint="eastAsia" w:ascii="仿宋_GB2312" w:hAnsi="仿宋_GB2312" w:eastAsia="仿宋_GB2312" w:cs="仿宋_GB2312"/>
          <w:sz w:val="32"/>
          <w:szCs w:val="32"/>
          <w:lang w:val="en-US" w:eastAsia="zh-CN"/>
        </w:rPr>
      </w:pPr>
    </w:p>
    <w:p w14:paraId="4701C93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附件：电池产品出口认证支持方向</w:t>
      </w:r>
    </w:p>
    <w:p w14:paraId="758CF1BB">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default" w:ascii="Times New Roman" w:hAnsi="Times New Roman" w:eastAsia="黑体" w:cs="Times New Roman"/>
          <w:sz w:val="32"/>
          <w:szCs w:val="32"/>
          <w:lang w:val="en-US" w:eastAsia="zh-CN"/>
        </w:rPr>
      </w:pPr>
      <w:r>
        <w:rPr>
          <w:rFonts w:hint="eastAsia" w:ascii="仿宋_GB2312" w:hAnsi="仿宋_GB2312" w:eastAsia="仿宋_GB2312" w:cs="仿宋_GB2312"/>
          <w:sz w:val="32"/>
          <w:szCs w:val="32"/>
          <w:lang w:val="en-US" w:eastAsia="zh-CN"/>
        </w:rPr>
        <w:br w:type="page"/>
      </w:r>
      <w:r>
        <w:rPr>
          <w:rFonts w:hint="default" w:ascii="Times New Roman" w:hAnsi="Times New Roman" w:eastAsia="黑体" w:cs="Times New Roman"/>
          <w:sz w:val="32"/>
          <w:szCs w:val="32"/>
          <w:lang w:val="en-US" w:eastAsia="zh-CN"/>
        </w:rPr>
        <w:t>附件</w:t>
      </w:r>
      <w:r>
        <w:rPr>
          <w:rFonts w:hint="default" w:eastAsia="黑体" w:cs="Times New Roman"/>
          <w:sz w:val="32"/>
          <w:szCs w:val="32"/>
          <w:lang w:val="en-US" w:eastAsia="zh-CN"/>
        </w:rPr>
        <w:t>1-3</w:t>
      </w:r>
      <w:r>
        <w:rPr>
          <w:rFonts w:hint="eastAsia" w:eastAsia="黑体" w:cs="Times New Roman"/>
          <w:sz w:val="32"/>
          <w:szCs w:val="32"/>
          <w:lang w:val="en-US" w:eastAsia="zh-CN"/>
        </w:rPr>
        <w:t>-1</w:t>
      </w:r>
    </w:p>
    <w:p w14:paraId="647D68AC">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sz w:val="32"/>
          <w:szCs w:val="32"/>
          <w:lang w:val="en-US" w:eastAsia="zh-CN"/>
        </w:rPr>
      </w:pPr>
    </w:p>
    <w:p w14:paraId="03D2D455">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2"/>
          <w:szCs w:val="42"/>
          <w:lang w:val="en-US" w:eastAsia="zh-CN"/>
        </w:rPr>
      </w:pPr>
      <w:r>
        <w:rPr>
          <w:rFonts w:hint="eastAsia" w:ascii="方正小标宋简体" w:hAnsi="方正小标宋简体" w:eastAsia="方正小标宋简体" w:cs="方正小标宋简体"/>
          <w:sz w:val="42"/>
          <w:szCs w:val="42"/>
          <w:lang w:val="en-US" w:eastAsia="zh-CN"/>
        </w:rPr>
        <w:t>电池产品出口认证支持方向</w:t>
      </w:r>
    </w:p>
    <w:p w14:paraId="7AE6169F">
      <w:pPr>
        <w:keepNext w:val="0"/>
        <w:keepLines w:val="0"/>
        <w:pageBreakBefore w:val="0"/>
        <w:widowControl w:val="0"/>
        <w:numPr>
          <w:ilvl w:val="0"/>
          <w:numId w:val="0"/>
        </w:numPr>
        <w:kinsoku/>
        <w:wordWrap/>
        <w:overflowPunct/>
        <w:topLinePunct w:val="0"/>
        <w:autoSpaceDE/>
        <w:autoSpaceDN/>
        <w:bidi w:val="0"/>
        <w:adjustRightInd/>
        <w:snapToGrid/>
        <w:spacing w:line="580" w:lineRule="exact"/>
        <w:jc w:val="both"/>
        <w:textAlignment w:val="auto"/>
        <w:rPr>
          <w:rFonts w:hint="default" w:ascii="仿宋_GB2312" w:hAnsi="仿宋_GB2312" w:eastAsia="仿宋_GB2312" w:cs="仿宋_GB2312"/>
          <w:sz w:val="32"/>
          <w:szCs w:val="32"/>
          <w:lang w:val="en-US" w:eastAsia="zh-CN"/>
        </w:rPr>
      </w:pPr>
    </w:p>
    <w:p w14:paraId="09EC000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电池产品出口认证</w:t>
      </w:r>
      <w:r>
        <w:rPr>
          <w:rFonts w:hint="eastAsia" w:ascii="仿宋_GB2312" w:hAnsi="仿宋_GB2312" w:eastAsia="仿宋_GB2312" w:cs="仿宋_GB2312"/>
          <w:sz w:val="32"/>
          <w:szCs w:val="32"/>
          <w:lang w:val="en-US" w:eastAsia="zh-CN"/>
        </w:rPr>
        <w:t>支持新型储能领域的以下方向：</w:t>
      </w:r>
    </w:p>
    <w:p w14:paraId="217D8386">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w:t>
      </w:r>
      <w:r>
        <w:rPr>
          <w:rFonts w:hint="eastAsia" w:ascii="Times New Roman" w:hAnsi="Times New Roman" w:eastAsia="仿宋_GB2312" w:cs="Times New Roman"/>
          <w:sz w:val="32"/>
          <w:szCs w:val="32"/>
          <w:highlight w:val="none"/>
          <w:lang w:val="en-US" w:eastAsia="zh-CN"/>
        </w:rPr>
        <w:t>电池产品出口应用领域：</w:t>
      </w:r>
      <w:r>
        <w:rPr>
          <w:rFonts w:hint="default" w:ascii="Times New Roman" w:hAnsi="Times New Roman" w:eastAsia="仿宋_GB2312" w:cs="Times New Roman"/>
          <w:sz w:val="32"/>
          <w:szCs w:val="32"/>
          <w:highlight w:val="none"/>
          <w:lang w:val="en-US" w:eastAsia="zh-CN"/>
        </w:rPr>
        <w:t>家庭储能</w:t>
      </w:r>
      <w:r>
        <w:rPr>
          <w:rFonts w:hint="eastAsia"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2"/>
          <w:szCs w:val="32"/>
          <w:highlight w:val="none"/>
          <w:lang w:val="en-US" w:eastAsia="zh-CN"/>
        </w:rPr>
        <w:t>工商业储能、便携式储能；</w:t>
      </w:r>
    </w:p>
    <w:p w14:paraId="5A6AAE2A">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pPr>
      <w:r>
        <w:rPr>
          <w:rFonts w:hint="eastAsia" w:ascii="Times New Roman" w:hAnsi="Times New Roman" w:eastAsia="仿宋_GB2312" w:cs="Times New Roman"/>
          <w:sz w:val="32"/>
          <w:szCs w:val="32"/>
          <w:highlight w:val="none"/>
          <w:lang w:val="en-US" w:eastAsia="zh-CN"/>
        </w:rPr>
        <w:t>二、认证项目：欧盟（</w:t>
      </w:r>
      <w:r>
        <w:rPr>
          <w:rFonts w:hint="default" w:ascii="Times New Roman" w:hAnsi="Times New Roman" w:eastAsia="仿宋_GB2312" w:cs="Times New Roman"/>
          <w:sz w:val="32"/>
          <w:szCs w:val="32"/>
          <w:highlight w:val="none"/>
          <w:lang w:val="en-US" w:eastAsia="zh-CN"/>
        </w:rPr>
        <w:t>IEC</w:t>
      </w:r>
      <w:r>
        <w:rPr>
          <w:rFonts w:hint="eastAsia" w:ascii="Times New Roman" w:hAnsi="Times New Roman" w:eastAsia="仿宋_GB2312" w:cs="Times New Roman"/>
          <w:sz w:val="32"/>
          <w:szCs w:val="32"/>
          <w:highlight w:val="none"/>
          <w:lang w:val="en-US" w:eastAsia="zh-CN"/>
        </w:rPr>
        <w:t>/EN</w:t>
      </w:r>
      <w:r>
        <w:rPr>
          <w:rFonts w:hint="default" w:ascii="Times New Roman" w:hAnsi="Times New Roman" w:eastAsia="仿宋_GB2312" w:cs="Times New Roman"/>
          <w:sz w:val="32"/>
          <w:szCs w:val="32"/>
          <w:highlight w:val="none"/>
          <w:lang w:val="en-US" w:eastAsia="zh-CN"/>
        </w:rPr>
        <w:t>62619</w:t>
      </w:r>
      <w:r>
        <w:rPr>
          <w:rFonts w:hint="eastAsia" w:ascii="Times New Roman" w:hAnsi="Times New Roman" w:eastAsia="仿宋_GB2312" w:cs="Times New Roman"/>
          <w:sz w:val="32"/>
          <w:szCs w:val="32"/>
          <w:highlight w:val="none"/>
          <w:lang w:val="en-US" w:eastAsia="zh-CN"/>
        </w:rPr>
        <w:t>、IEC/EN62133、IEC/EN63056、IEC/EN62368、EN61000-6-1/3、EN61000-6-2/4）</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北美（</w:t>
      </w:r>
      <w:r>
        <w:rPr>
          <w:rFonts w:hint="default" w:ascii="Times New Roman" w:hAnsi="Times New Roman" w:eastAsia="仿宋_GB2312" w:cs="Times New Roman"/>
          <w:sz w:val="32"/>
          <w:szCs w:val="32"/>
          <w:highlight w:val="none"/>
          <w:lang w:val="en-US" w:eastAsia="zh-CN"/>
        </w:rPr>
        <w:t>UL1973</w:t>
      </w:r>
      <w:r>
        <w:rPr>
          <w:rFonts w:hint="eastAsia" w:ascii="Times New Roman" w:hAnsi="Times New Roman" w:eastAsia="仿宋_GB2312" w:cs="Times New Roman"/>
          <w:sz w:val="32"/>
          <w:szCs w:val="32"/>
          <w:highlight w:val="none"/>
          <w:lang w:val="en-US" w:eastAsia="zh-CN"/>
        </w:rPr>
        <w:t>、UL9540A、UL2743、</w:t>
      </w:r>
      <w:r>
        <w:rPr>
          <w:rFonts w:hint="eastAsia" w:ascii="Times New Roman" w:hAnsi="Times New Roman" w:eastAsia="仿宋_GB2312" w:cs="Times New Roman"/>
          <w:sz w:val="32"/>
          <w:szCs w:val="32"/>
          <w:highlight w:val="none"/>
        </w:rPr>
        <w:t xml:space="preserve">FCC </w:t>
      </w:r>
      <w:r>
        <w:rPr>
          <w:rFonts w:hint="eastAsia" w:ascii="Times New Roman" w:hAnsi="Times New Roman" w:eastAsia="仿宋_GB2312" w:cs="Times New Roman"/>
          <w:sz w:val="32"/>
          <w:szCs w:val="32"/>
          <w:highlight w:val="none"/>
          <w:lang w:eastAsia="zh-CN"/>
        </w:rPr>
        <w:t>P</w:t>
      </w:r>
      <w:r>
        <w:rPr>
          <w:rFonts w:hint="eastAsia" w:ascii="Times New Roman" w:hAnsi="Times New Roman" w:eastAsia="仿宋_GB2312" w:cs="Times New Roman"/>
          <w:sz w:val="32"/>
          <w:szCs w:val="32"/>
          <w:highlight w:val="none"/>
        </w:rPr>
        <w:t>art15B</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日本（</w:t>
      </w:r>
      <w:r>
        <w:rPr>
          <w:rFonts w:hint="eastAsia" w:ascii="Times New Roman" w:hAnsi="Times New Roman" w:eastAsia="仿宋_GB2312" w:cs="Times New Roman"/>
          <w:sz w:val="32"/>
          <w:szCs w:val="32"/>
          <w:highlight w:val="none"/>
        </w:rPr>
        <w:t>JIS C 8715-2</w:t>
      </w:r>
      <w:r>
        <w:rPr>
          <w:rFonts w:hint="eastAsia" w:ascii="Times New Roman" w:hAnsi="Times New Roman" w:eastAsia="仿宋_GB2312" w:cs="Times New Roman"/>
          <w:sz w:val="32"/>
          <w:szCs w:val="32"/>
          <w:highlight w:val="none"/>
          <w:lang w:eastAsia="zh-CN"/>
        </w:rPr>
        <w:t>、J62133</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韩国（</w:t>
      </w:r>
      <w:r>
        <w:rPr>
          <w:rFonts w:hint="default" w:ascii="Times New Roman" w:hAnsi="Times New Roman" w:eastAsia="仿宋_GB2312" w:cs="Times New Roman"/>
          <w:sz w:val="32"/>
          <w:szCs w:val="32"/>
          <w:highlight w:val="none"/>
          <w:lang w:val="en-US" w:eastAsia="zh-CN"/>
        </w:rPr>
        <w:t>K</w:t>
      </w:r>
      <w:r>
        <w:rPr>
          <w:rFonts w:hint="eastAsia" w:ascii="Times New Roman" w:hAnsi="Times New Roman" w:eastAsia="仿宋_GB2312" w:cs="Times New Roman"/>
          <w:sz w:val="32"/>
          <w:szCs w:val="32"/>
          <w:highlight w:val="none"/>
          <w:lang w:val="en-US" w:eastAsia="zh-CN"/>
        </w:rPr>
        <w:t>C</w:t>
      </w:r>
      <w:r>
        <w:rPr>
          <w:rFonts w:hint="default" w:ascii="Times New Roman" w:hAnsi="Times New Roman" w:eastAsia="仿宋_GB2312" w:cs="Times New Roman"/>
          <w:sz w:val="32"/>
          <w:szCs w:val="32"/>
          <w:highlight w:val="none"/>
          <w:lang w:val="en-US" w:eastAsia="zh-CN"/>
        </w:rPr>
        <w:t>62619</w:t>
      </w:r>
      <w:r>
        <w:rPr>
          <w:rFonts w:hint="eastAsia" w:ascii="Times New Roman" w:hAnsi="Times New Roman" w:eastAsia="仿宋_GB2312" w:cs="Times New Roman"/>
          <w:sz w:val="32"/>
          <w:szCs w:val="32"/>
          <w:highlight w:val="none"/>
          <w:lang w:val="en-US" w:eastAsia="zh-CN"/>
        </w:rPr>
        <w:t>、KC62133）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国际通用</w:t>
      </w:r>
      <w:r>
        <w:rPr>
          <w:rFonts w:hint="default" w:ascii="Times New Roman" w:hAnsi="Times New Roman" w:eastAsia="仿宋_GB2312" w:cs="Times New Roman"/>
          <w:sz w:val="32"/>
          <w:szCs w:val="32"/>
          <w:highlight w:val="none"/>
          <w:lang w:val="en-US" w:eastAsia="zh-CN"/>
        </w:rPr>
        <w:t>UN38.3</w:t>
      </w:r>
      <w:r>
        <w:rPr>
          <w:rFonts w:hint="eastAsia" w:ascii="Times New Roman" w:hAnsi="Times New Roman" w:eastAsia="仿宋_GB2312" w:cs="Times New Roman"/>
          <w:sz w:val="32"/>
          <w:szCs w:val="32"/>
          <w:highlight w:val="none"/>
          <w:lang w:val="en-US" w:eastAsia="zh-CN"/>
        </w:rPr>
        <w:t>等。</w:t>
      </w:r>
    </w:p>
    <w:sectPr>
      <w:footerReference r:id="rId3" w:type="default"/>
      <w:pgSz w:w="11906" w:h="16838"/>
      <w:pgMar w:top="2098"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S Outlook"/>
    <w:panose1 w:val="05000000000000000000"/>
    <w:charset w:val="02"/>
    <w:family w:val="auto"/>
    <w:pitch w:val="default"/>
    <w:sig w:usb0="00000000" w:usb1="00000000" w:usb2="00000000" w:usb3="00000000" w:csb0="80000000" w:csb1="00000000"/>
  </w:font>
  <w:font w:name="Arial">
    <w:panose1 w:val="020B0606020202030204"/>
    <w:charset w:val="01"/>
    <w:family w:val="swiss"/>
    <w:pitch w:val="default"/>
    <w:sig w:usb0="00000287" w:usb1="00000800" w:usb2="00000000" w:usb3="00000000" w:csb0="2000009F" w:csb1="DFD7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A00002EF" w:usb1="4000207B" w:usb2="00000000" w:usb3="00000000" w:csb0="2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MS Outlook">
    <w:panose1 w:val="05010100010000000000"/>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21472">
    <w:pPr>
      <w:widowControl w:val="0"/>
      <w:tabs>
        <w:tab w:val="center" w:pos="4153"/>
        <w:tab w:val="right" w:pos="8306"/>
      </w:tabs>
      <w:snapToGrid w:val="0"/>
      <w:spacing w:beforeLines="0" w:afterLines="0"/>
      <w:jc w:val="left"/>
      <w:rPr>
        <w:rFonts w:hint="default" w:ascii="Calibri" w:hAnsi="Calibri" w:eastAsia="宋体" w:cs="Times New Roman"/>
        <w:kern w:val="2"/>
        <w:sz w:val="18"/>
        <w:szCs w:val="24"/>
        <w:lang w:val="en-US" w:eastAsia="zh-CN" w:bidi="ar-SA"/>
      </w:rPr>
    </w:pPr>
    <w:r>
      <w:rPr>
        <w:rFonts w:hint="default"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E47F45">
                          <w:pPr>
                            <w:widowControl w:val="0"/>
                            <w:tabs>
                              <w:tab w:val="center" w:pos="4153"/>
                              <w:tab w:val="right" w:pos="8306"/>
                            </w:tabs>
                            <w:snapToGrid w:val="0"/>
                            <w:spacing w:beforeLines="0" w:afterLines="0"/>
                            <w:jc w:val="left"/>
                            <w:rPr>
                              <w:rFonts w:hint="default" w:ascii="Times New Roman" w:hAnsi="Times New Roman" w:eastAsia="宋体" w:cs="Times New Roman"/>
                              <w:kern w:val="2"/>
                              <w:sz w:val="28"/>
                              <w:szCs w:val="28"/>
                              <w:lang w:val="en-US" w:eastAsia="zh-CN" w:bidi="ar-SA"/>
                            </w:rPr>
                          </w:pPr>
                          <w:r>
                            <w:rPr>
                              <w:rFonts w:hint="default" w:ascii="Times New Roman" w:hAnsi="Times New Roman" w:eastAsia="宋体" w:cs="Times New Roman"/>
                              <w:kern w:val="2"/>
                              <w:sz w:val="28"/>
                              <w:szCs w:val="28"/>
                              <w:lang w:val="en-US" w:eastAsia="zh-CN" w:bidi="ar-SA"/>
                            </w:rPr>
                            <w:t xml:space="preserve">— </w:t>
                          </w:r>
                          <w:r>
                            <w:rPr>
                              <w:rFonts w:hint="default" w:ascii="Times New Roman" w:hAnsi="Times New Roman" w:eastAsia="宋体" w:cs="Times New Roman"/>
                              <w:kern w:val="2"/>
                              <w:sz w:val="28"/>
                              <w:szCs w:val="28"/>
                              <w:lang w:val="en-US" w:eastAsia="zh-CN" w:bidi="ar-SA"/>
                            </w:rPr>
                            <w:fldChar w:fldCharType="begin"/>
                          </w:r>
                          <w:r>
                            <w:rPr>
                              <w:rFonts w:hint="default" w:ascii="Times New Roman" w:hAnsi="Times New Roman" w:eastAsia="宋体" w:cs="Times New Roman"/>
                              <w:kern w:val="2"/>
                              <w:sz w:val="28"/>
                              <w:szCs w:val="28"/>
                              <w:lang w:val="en-US" w:eastAsia="zh-CN" w:bidi="ar-SA"/>
                            </w:rPr>
                            <w:instrText xml:space="preserve"> PAGE  \* MERGEFORMAT </w:instrText>
                          </w:r>
                          <w:r>
                            <w:rPr>
                              <w:rFonts w:hint="default" w:ascii="Times New Roman" w:hAnsi="Times New Roman" w:eastAsia="宋体" w:cs="Times New Roman"/>
                              <w:kern w:val="2"/>
                              <w:sz w:val="28"/>
                              <w:szCs w:val="28"/>
                              <w:lang w:val="en-US" w:eastAsia="zh-CN" w:bidi="ar-SA"/>
                            </w:rPr>
                            <w:fldChar w:fldCharType="separate"/>
                          </w:r>
                          <w:r>
                            <w:rPr>
                              <w:rFonts w:hint="default" w:ascii="Times New Roman" w:hAnsi="Times New Roman" w:eastAsia="宋体" w:cs="Times New Roman"/>
                              <w:kern w:val="2"/>
                              <w:sz w:val="28"/>
                              <w:szCs w:val="28"/>
                              <w:lang w:val="en-US" w:eastAsia="zh-CN" w:bidi="ar-SA"/>
                            </w:rPr>
                            <w:t>1</w:t>
                          </w:r>
                          <w:r>
                            <w:rPr>
                              <w:rFonts w:hint="default" w:ascii="Times New Roman" w:hAnsi="Times New Roman" w:eastAsia="宋体" w:cs="Times New Roman"/>
                              <w:kern w:val="2"/>
                              <w:sz w:val="28"/>
                              <w:szCs w:val="28"/>
                              <w:lang w:val="en-US" w:eastAsia="zh-CN" w:bidi="ar-SA"/>
                            </w:rPr>
                            <w:fldChar w:fldCharType="end"/>
                          </w:r>
                          <w:r>
                            <w:rPr>
                              <w:rFonts w:hint="default" w:ascii="Times New Roman" w:hAnsi="Times New Roman" w:eastAsia="宋体" w:cs="Times New Roman"/>
                              <w:kern w:val="2"/>
                              <w:sz w:val="28"/>
                              <w:szCs w:val="28"/>
                              <w:lang w:val="en-US" w:eastAsia="zh-CN" w:bidi="ar-SA"/>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FE47F45">
                    <w:pPr>
                      <w:widowControl w:val="0"/>
                      <w:tabs>
                        <w:tab w:val="center" w:pos="4153"/>
                        <w:tab w:val="right" w:pos="8306"/>
                      </w:tabs>
                      <w:snapToGrid w:val="0"/>
                      <w:spacing w:beforeLines="0" w:afterLines="0"/>
                      <w:jc w:val="left"/>
                      <w:rPr>
                        <w:rFonts w:hint="default" w:ascii="Times New Roman" w:hAnsi="Times New Roman" w:eastAsia="宋体" w:cs="Times New Roman"/>
                        <w:kern w:val="2"/>
                        <w:sz w:val="28"/>
                        <w:szCs w:val="28"/>
                        <w:lang w:val="en-US" w:eastAsia="zh-CN" w:bidi="ar-SA"/>
                      </w:rPr>
                    </w:pPr>
                    <w:r>
                      <w:rPr>
                        <w:rFonts w:hint="default" w:ascii="Times New Roman" w:hAnsi="Times New Roman" w:eastAsia="宋体" w:cs="Times New Roman"/>
                        <w:kern w:val="2"/>
                        <w:sz w:val="28"/>
                        <w:szCs w:val="28"/>
                        <w:lang w:val="en-US" w:eastAsia="zh-CN" w:bidi="ar-SA"/>
                      </w:rPr>
                      <w:t xml:space="preserve">— </w:t>
                    </w:r>
                    <w:r>
                      <w:rPr>
                        <w:rFonts w:hint="default" w:ascii="Times New Roman" w:hAnsi="Times New Roman" w:eastAsia="宋体" w:cs="Times New Roman"/>
                        <w:kern w:val="2"/>
                        <w:sz w:val="28"/>
                        <w:szCs w:val="28"/>
                        <w:lang w:val="en-US" w:eastAsia="zh-CN" w:bidi="ar-SA"/>
                      </w:rPr>
                      <w:fldChar w:fldCharType="begin"/>
                    </w:r>
                    <w:r>
                      <w:rPr>
                        <w:rFonts w:hint="default" w:ascii="Times New Roman" w:hAnsi="Times New Roman" w:eastAsia="宋体" w:cs="Times New Roman"/>
                        <w:kern w:val="2"/>
                        <w:sz w:val="28"/>
                        <w:szCs w:val="28"/>
                        <w:lang w:val="en-US" w:eastAsia="zh-CN" w:bidi="ar-SA"/>
                      </w:rPr>
                      <w:instrText xml:space="preserve"> PAGE  \* MERGEFORMAT </w:instrText>
                    </w:r>
                    <w:r>
                      <w:rPr>
                        <w:rFonts w:hint="default" w:ascii="Times New Roman" w:hAnsi="Times New Roman" w:eastAsia="宋体" w:cs="Times New Roman"/>
                        <w:kern w:val="2"/>
                        <w:sz w:val="28"/>
                        <w:szCs w:val="28"/>
                        <w:lang w:val="en-US" w:eastAsia="zh-CN" w:bidi="ar-SA"/>
                      </w:rPr>
                      <w:fldChar w:fldCharType="separate"/>
                    </w:r>
                    <w:r>
                      <w:rPr>
                        <w:rFonts w:hint="default" w:ascii="Times New Roman" w:hAnsi="Times New Roman" w:eastAsia="宋体" w:cs="Times New Roman"/>
                        <w:kern w:val="2"/>
                        <w:sz w:val="28"/>
                        <w:szCs w:val="28"/>
                        <w:lang w:val="en-US" w:eastAsia="zh-CN" w:bidi="ar-SA"/>
                      </w:rPr>
                      <w:t>1</w:t>
                    </w:r>
                    <w:r>
                      <w:rPr>
                        <w:rFonts w:hint="default" w:ascii="Times New Roman" w:hAnsi="Times New Roman" w:eastAsia="宋体" w:cs="Times New Roman"/>
                        <w:kern w:val="2"/>
                        <w:sz w:val="28"/>
                        <w:szCs w:val="28"/>
                        <w:lang w:val="en-US" w:eastAsia="zh-CN" w:bidi="ar-SA"/>
                      </w:rPr>
                      <w:fldChar w:fldCharType="end"/>
                    </w:r>
                    <w:r>
                      <w:rPr>
                        <w:rFonts w:hint="default" w:ascii="Times New Roman" w:hAnsi="Times New Roman" w:eastAsia="宋体" w:cs="Times New Roman"/>
                        <w:kern w:val="2"/>
                        <w:sz w:val="28"/>
                        <w:szCs w:val="28"/>
                        <w:lang w:val="en-US" w:eastAsia="zh-CN" w:bidi="ar-SA"/>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184D56"/>
    <w:multiLevelType w:val="singleLevel"/>
    <w:tmpl w:val="E0184D56"/>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1">
    <w:nsid w:val="E328CA0E"/>
    <w:multiLevelType w:val="singleLevel"/>
    <w:tmpl w:val="E328CA0E"/>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2">
    <w:nsid w:val="FB7EDEE4"/>
    <w:multiLevelType w:val="singleLevel"/>
    <w:tmpl w:val="FB7EDEE4"/>
    <w:lvl w:ilvl="0" w:tentative="0">
      <w:start w:val="1"/>
      <w:numFmt w:val="chineseCounting"/>
      <w:suff w:val="nothing"/>
      <w:lvlText w:val="%1、"/>
      <w:lvlJc w:val="left"/>
      <w:rPr>
        <w:rFonts w:hint="eastAsia"/>
      </w:rPr>
    </w:lvl>
  </w:abstractNum>
  <w:abstractNum w:abstractNumId="3">
    <w:nsid w:val="7AF3AD8A"/>
    <w:multiLevelType w:val="singleLevel"/>
    <w:tmpl w:val="7AF3AD8A"/>
    <w:lvl w:ilvl="0" w:tentative="0">
      <w:start w:val="1"/>
      <w:numFmt w:val="chineseCounting"/>
      <w:suff w:val="nothing"/>
      <w:lvlText w:val="（%1）"/>
      <w:lvlJc w:val="left"/>
      <w:pPr>
        <w:ind w:left="0" w:firstLine="0"/>
      </w:pPr>
      <w:rPr>
        <w:rFonts w:hint="eastAsia" w:ascii="仿宋_GB2312" w:hAnsi="仿宋_GB2312" w:eastAsia="仿宋_GB2312" w:cs="仿宋_GB2312"/>
        <w:sz w:val="32"/>
        <w:szCs w:val="32"/>
      </w:rPr>
    </w:lvl>
  </w:abstractNum>
  <w:abstractNum w:abstractNumId="4">
    <w:nsid w:val="7AF95D89"/>
    <w:multiLevelType w:val="singleLevel"/>
    <w:tmpl w:val="7AF95D89"/>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abstractNum w:abstractNumId="5">
    <w:nsid w:val="7FAF1918"/>
    <w:multiLevelType w:val="singleLevel"/>
    <w:tmpl w:val="7FAF1918"/>
    <w:lvl w:ilvl="0" w:tentative="0">
      <w:start w:val="1"/>
      <w:numFmt w:val="chineseCounting"/>
      <w:suff w:val="nothing"/>
      <w:lvlText w:val="（%1）"/>
      <w:lvlJc w:val="left"/>
      <w:pPr>
        <w:ind w:left="0" w:firstLine="0"/>
      </w:pPr>
      <w:rPr>
        <w:rFonts w:hint="eastAsia" w:ascii="楷体_GB2312" w:hAnsi="楷体_GB2312" w:eastAsia="楷体_GB2312" w:cs="楷体_GB2312"/>
        <w:sz w:val="32"/>
        <w:szCs w:val="32"/>
      </w:r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DF29C2"/>
    <w:rsid w:val="72A15CEF"/>
    <w:rsid w:val="7FB7BC34"/>
    <w:rsid w:val="979F385B"/>
    <w:rsid w:val="A55C2806"/>
    <w:rsid w:val="F7BB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2024-10-12T22:45:00Z</dcterms:created>
  <dc:creator>Administrator</dc:creator>
  <cp:lastModifiedBy>陈迪良</cp:lastModifiedBy>
  <dcterms:modified xsi:type="dcterms:W3CDTF">2026-06-18T16:25:26Z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E0220D4B97C44C0E8B72856C9F4EA236</vt:lpwstr>
  </property>
</Properties>
</file>